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545CA" w14:textId="77777777" w:rsidR="00135539" w:rsidRPr="003D053B" w:rsidRDefault="00135539" w:rsidP="00135539">
      <w:pPr>
        <w:pStyle w:val="Heading4"/>
        <w:numPr>
          <w:ilvl w:val="0"/>
          <w:numId w:val="2"/>
        </w:numPr>
        <w:tabs>
          <w:tab w:val="num" w:pos="360"/>
        </w:tabs>
        <w:ind w:left="360"/>
      </w:pPr>
      <w:r w:rsidRPr="003D053B">
        <w:t>Salvaging Structures</w:t>
      </w:r>
    </w:p>
    <w:p w14:paraId="19D33731" w14:textId="77777777" w:rsidR="00135539" w:rsidRPr="00517941" w:rsidRDefault="00135539" w:rsidP="00135539">
      <w:pPr>
        <w:pStyle w:val="NoSpacing"/>
        <w:tabs>
          <w:tab w:val="left" w:pos="5040"/>
        </w:tabs>
        <w:rPr>
          <w:lang w:val="en-C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1CAB8B" wp14:editId="23EDE098">
                <wp:simplePos x="0" y="0"/>
                <wp:positionH relativeFrom="column">
                  <wp:posOffset>1760220</wp:posOffset>
                </wp:positionH>
                <wp:positionV relativeFrom="paragraph">
                  <wp:posOffset>480695</wp:posOffset>
                </wp:positionV>
                <wp:extent cx="1440180" cy="0"/>
                <wp:effectExtent l="7620" t="12700" r="9525" b="6350"/>
                <wp:wrapNone/>
                <wp:docPr id="6" name="AutoShape 160" descr="Fillable Lin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01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E02E9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60" o:spid="_x0000_s1026" type="#_x0000_t32" alt="Fillable Line" style="position:absolute;margin-left:138.6pt;margin-top:37.85pt;width:11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"/>
            </w:pict>
          </mc:Fallback>
        </mc:AlternateContent>
      </w:r>
      <w:r w:rsidRPr="00517941">
        <w:rPr>
          <w:lang w:val="en-CA"/>
        </w:rPr>
        <w:t xml:space="preserve">Further to Section </w:t>
      </w:r>
      <w:r>
        <w:rPr>
          <w:lang w:val="en-CA"/>
        </w:rPr>
        <w:t>106-28</w:t>
      </w:r>
      <w:r w:rsidRPr="00517941">
        <w:rPr>
          <w:lang w:val="en-CA"/>
        </w:rPr>
        <w:t xml:space="preserve"> of the General Conditions, the designated Public Works Depot for </w:t>
      </w:r>
      <w:r w:rsidRPr="00517941">
        <w:rPr>
          <w:rStyle w:val="Strong"/>
        </w:rPr>
        <w:t xml:space="preserve">Contract </w:t>
      </w:r>
      <w:r>
        <w:rPr>
          <w:rStyle w:val="Strong"/>
          <w:highlight w:val="yellow"/>
        </w:rPr>
        <w:t>ENG23-xx</w:t>
      </w:r>
      <w:r w:rsidRPr="00517941">
        <w:rPr>
          <w:b/>
          <w:bCs/>
          <w:lang w:val="en-CA"/>
        </w:rPr>
        <w:t xml:space="preserve"> </w:t>
      </w:r>
      <w:r w:rsidRPr="00517941">
        <w:rPr>
          <w:lang w:val="en-CA"/>
        </w:rPr>
        <w:t>will be</w:t>
      </w:r>
      <w:r>
        <w:rPr>
          <w:lang w:val="en-CA"/>
        </w:rPr>
        <w:t xml:space="preserve"> </w:t>
      </w:r>
      <w:r>
        <w:rPr>
          <w:lang w:val="en-CA"/>
        </w:rPr>
        <w:tab/>
      </w:r>
      <w:r w:rsidRPr="00517941">
        <w:rPr>
          <w:lang w:val="en-CA"/>
        </w:rPr>
        <w:t>.</w:t>
      </w:r>
    </w:p>
    <w:p w14:paraId="56F9205A" w14:textId="77777777" w:rsidR="00135539" w:rsidRDefault="00135539" w:rsidP="00135539">
      <w:pPr>
        <w:pStyle w:val="NoSpacing"/>
        <w:spacing w:before="0" w:after="0"/>
        <w:rPr>
          <w:lang w:val="en-CA"/>
        </w:rPr>
      </w:pPr>
      <w:r w:rsidRPr="00517941">
        <w:rPr>
          <w:lang w:val="en-CA"/>
        </w:rPr>
        <w:t xml:space="preserve">Items to be salvaged and delivered to the Designated Public Works Depot from </w:t>
      </w:r>
      <w:r w:rsidRPr="00517941">
        <w:rPr>
          <w:b/>
          <w:bCs/>
          <w:lang w:val="en-CA"/>
        </w:rPr>
        <w:t xml:space="preserve">Contract </w:t>
      </w:r>
      <w:r>
        <w:rPr>
          <w:rStyle w:val="Strong"/>
          <w:highlight w:val="yellow"/>
        </w:rPr>
        <w:t>ENG23-xx</w:t>
      </w:r>
      <w:r>
        <w:rPr>
          <w:rStyle w:val="Strong"/>
        </w:rPr>
        <w:t xml:space="preserve"> </w:t>
      </w:r>
      <w:r>
        <w:rPr>
          <w:lang w:val="en-CA"/>
        </w:rPr>
        <w:t>include, but may not be limited to:</w:t>
      </w:r>
    </w:p>
    <w:p w14:paraId="2E5AF676" w14:textId="77777777" w:rsidR="00135539" w:rsidRPr="00D0600A" w:rsidRDefault="00135539" w:rsidP="00135539">
      <w:pPr>
        <w:numPr>
          <w:ilvl w:val="0"/>
          <w:numId w:val="1"/>
        </w:numPr>
        <w:tabs>
          <w:tab w:val="left" w:pos="720"/>
          <w:tab w:val="left" w:pos="1454"/>
          <w:tab w:val="left" w:pos="1980"/>
          <w:tab w:val="left" w:pos="3744"/>
          <w:tab w:val="left" w:pos="4456"/>
        </w:tabs>
        <w:spacing w:before="240"/>
        <w:rPr>
          <w:rFonts w:ascii="Arial" w:hAnsi="Arial" w:cs="Arial"/>
          <w:sz w:val="22"/>
          <w:szCs w:val="22"/>
          <w:highlight w:val="yellow"/>
          <w:lang w:val="en-CA"/>
        </w:rPr>
      </w:pPr>
      <w:r w:rsidRPr="00D0600A">
        <w:rPr>
          <w:rFonts w:ascii="Arial" w:hAnsi="Arial" w:cs="Arial"/>
          <w:sz w:val="22"/>
          <w:szCs w:val="22"/>
          <w:highlight w:val="yellow"/>
          <w:lang w:val="en-CA"/>
        </w:rPr>
        <w:t>Valves</w:t>
      </w:r>
    </w:p>
    <w:p w14:paraId="72ADD791" w14:textId="77777777" w:rsidR="00135539" w:rsidRPr="00D0600A" w:rsidRDefault="00135539" w:rsidP="00135539">
      <w:pPr>
        <w:numPr>
          <w:ilvl w:val="0"/>
          <w:numId w:val="1"/>
        </w:numPr>
        <w:tabs>
          <w:tab w:val="left" w:pos="720"/>
          <w:tab w:val="left" w:pos="1454"/>
          <w:tab w:val="left" w:pos="1980"/>
          <w:tab w:val="left" w:pos="3744"/>
          <w:tab w:val="left" w:pos="4456"/>
        </w:tabs>
        <w:rPr>
          <w:rFonts w:ascii="Arial" w:hAnsi="Arial" w:cs="Arial"/>
          <w:sz w:val="22"/>
          <w:szCs w:val="22"/>
          <w:highlight w:val="yellow"/>
          <w:lang w:val="en-CA"/>
        </w:rPr>
      </w:pPr>
      <w:r w:rsidRPr="00D0600A">
        <w:rPr>
          <w:rFonts w:ascii="Arial" w:hAnsi="Arial" w:cs="Arial"/>
          <w:sz w:val="22"/>
          <w:szCs w:val="22"/>
          <w:highlight w:val="yellow"/>
          <w:lang w:val="en-CA"/>
        </w:rPr>
        <w:t>Hydrants</w:t>
      </w:r>
    </w:p>
    <w:p w14:paraId="1233D98D" w14:textId="77777777" w:rsidR="00135539" w:rsidRPr="00D0600A" w:rsidRDefault="00135539" w:rsidP="00135539">
      <w:pPr>
        <w:numPr>
          <w:ilvl w:val="0"/>
          <w:numId w:val="1"/>
        </w:numPr>
        <w:tabs>
          <w:tab w:val="left" w:pos="720"/>
          <w:tab w:val="left" w:pos="1454"/>
          <w:tab w:val="left" w:pos="1980"/>
          <w:tab w:val="left" w:pos="3744"/>
          <w:tab w:val="left" w:pos="4456"/>
        </w:tabs>
        <w:rPr>
          <w:rFonts w:ascii="Arial" w:hAnsi="Arial" w:cs="Arial"/>
          <w:sz w:val="22"/>
          <w:szCs w:val="22"/>
          <w:highlight w:val="yellow"/>
          <w:lang w:val="en-CA"/>
        </w:rPr>
      </w:pPr>
      <w:r w:rsidRPr="00D0600A">
        <w:rPr>
          <w:rFonts w:ascii="Arial" w:hAnsi="Arial" w:cs="Arial"/>
          <w:sz w:val="22"/>
          <w:szCs w:val="22"/>
          <w:highlight w:val="yellow"/>
          <w:lang w:val="en-CA"/>
        </w:rPr>
        <w:t>Culverts</w:t>
      </w:r>
    </w:p>
    <w:p w14:paraId="6A2DC412" w14:textId="77777777" w:rsidR="00135539" w:rsidRPr="00D0600A" w:rsidRDefault="00135539" w:rsidP="00135539">
      <w:pPr>
        <w:numPr>
          <w:ilvl w:val="0"/>
          <w:numId w:val="1"/>
        </w:numPr>
        <w:tabs>
          <w:tab w:val="left" w:pos="720"/>
          <w:tab w:val="left" w:pos="1454"/>
          <w:tab w:val="left" w:pos="1980"/>
          <w:tab w:val="left" w:pos="3744"/>
          <w:tab w:val="left" w:pos="4456"/>
        </w:tabs>
        <w:rPr>
          <w:rFonts w:ascii="Arial" w:hAnsi="Arial" w:cs="Arial"/>
          <w:sz w:val="22"/>
          <w:szCs w:val="22"/>
          <w:highlight w:val="yellow"/>
          <w:lang w:val="en-CA"/>
        </w:rPr>
      </w:pPr>
      <w:r w:rsidRPr="00D0600A">
        <w:rPr>
          <w:rFonts w:ascii="Arial" w:hAnsi="Arial" w:cs="Arial"/>
          <w:sz w:val="22"/>
          <w:szCs w:val="22"/>
          <w:highlight w:val="yellow"/>
          <w:lang w:val="en-CA"/>
        </w:rPr>
        <w:t>Maintenance hole covers</w:t>
      </w:r>
    </w:p>
    <w:p w14:paraId="78C7DC2C" w14:textId="77777777" w:rsidR="00135539" w:rsidRPr="00D0600A" w:rsidRDefault="00135539" w:rsidP="00135539">
      <w:pPr>
        <w:numPr>
          <w:ilvl w:val="0"/>
          <w:numId w:val="1"/>
        </w:numPr>
        <w:tabs>
          <w:tab w:val="left" w:pos="720"/>
          <w:tab w:val="left" w:pos="1454"/>
          <w:tab w:val="left" w:pos="1980"/>
          <w:tab w:val="left" w:pos="3744"/>
          <w:tab w:val="left" w:pos="4456"/>
        </w:tabs>
        <w:rPr>
          <w:rFonts w:ascii="Arial" w:hAnsi="Arial" w:cs="Arial"/>
          <w:b/>
          <w:bCs/>
          <w:sz w:val="22"/>
          <w:szCs w:val="22"/>
          <w:highlight w:val="yellow"/>
          <w:lang w:val="en-CA"/>
        </w:rPr>
      </w:pPr>
      <w:r w:rsidRPr="00D0600A">
        <w:rPr>
          <w:rFonts w:ascii="Arial" w:hAnsi="Arial" w:cs="Arial"/>
          <w:sz w:val="22"/>
          <w:szCs w:val="22"/>
          <w:highlight w:val="yellow"/>
          <w:lang w:val="en-CA"/>
        </w:rPr>
        <w:t>Catch basin covers</w:t>
      </w:r>
    </w:p>
    <w:p w14:paraId="26568AEF" w14:textId="77777777" w:rsidR="00135539" w:rsidRPr="00D0600A" w:rsidRDefault="00135539" w:rsidP="00135539">
      <w:pPr>
        <w:numPr>
          <w:ilvl w:val="0"/>
          <w:numId w:val="1"/>
        </w:numPr>
        <w:tabs>
          <w:tab w:val="left" w:pos="720"/>
          <w:tab w:val="left" w:pos="1454"/>
          <w:tab w:val="left" w:pos="1980"/>
          <w:tab w:val="left" w:pos="3744"/>
          <w:tab w:val="left" w:pos="4456"/>
        </w:tabs>
        <w:rPr>
          <w:highlight w:val="yellow"/>
        </w:rPr>
      </w:pPr>
      <w:r w:rsidRPr="00D0600A">
        <w:rPr>
          <w:rFonts w:ascii="Arial" w:hAnsi="Arial" w:cs="Arial"/>
          <w:sz w:val="22"/>
          <w:szCs w:val="22"/>
          <w:highlight w:val="yellow"/>
          <w:lang w:val="en-CA"/>
        </w:rPr>
        <w:t>Traffic signal poles c/w mast arms and light heads</w:t>
      </w:r>
    </w:p>
    <w:p w14:paraId="7044B624" w14:textId="77777777" w:rsidR="00262FAD" w:rsidRDefault="00262FAD"/>
    <w:sectPr w:rsidR="00262F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24484"/>
    <w:multiLevelType w:val="hybridMultilevel"/>
    <w:tmpl w:val="600291A6"/>
    <w:lvl w:ilvl="0" w:tplc="7C0A010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B346FE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415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EAE5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46EB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4FE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7E5F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8E6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3A6C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A27BF9"/>
    <w:multiLevelType w:val="hybridMultilevel"/>
    <w:tmpl w:val="F3269826"/>
    <w:lvl w:ilvl="0" w:tplc="C1B83BFA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09870845">
    <w:abstractNumId w:val="0"/>
  </w:num>
  <w:num w:numId="2" w16cid:durableId="1740320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539"/>
    <w:rsid w:val="00135539"/>
    <w:rsid w:val="00262FAD"/>
    <w:rsid w:val="0082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781AA"/>
  <w15:chartTrackingRefBased/>
  <w15:docId w15:val="{FEA2517E-3BAC-4233-BF52-041EC7AA8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1355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35539"/>
    <w:pPr>
      <w:keepNext/>
      <w:spacing w:before="360"/>
      <w:outlineLvl w:val="3"/>
    </w:pPr>
    <w:rPr>
      <w:rFonts w:ascii="Arial" w:eastAsia="Times New Roman" w:hAnsi="Arial"/>
      <w:b/>
      <w:bCs/>
      <w:sz w:val="22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135539"/>
    <w:rPr>
      <w:rFonts w:ascii="Arial" w:eastAsia="Times New Roman" w:hAnsi="Arial" w:cs="Times New Roman"/>
      <w:b/>
      <w:bCs/>
      <w:szCs w:val="28"/>
      <w:lang w:val="x-none" w:eastAsia="x-none"/>
    </w:rPr>
  </w:style>
  <w:style w:type="character" w:styleId="Strong">
    <w:name w:val="Strong"/>
    <w:uiPriority w:val="22"/>
    <w:qFormat/>
    <w:rsid w:val="00135539"/>
    <w:rPr>
      <w:rFonts w:ascii="Arial" w:hAnsi="Arial"/>
      <w:b/>
      <w:bCs/>
      <w:sz w:val="22"/>
    </w:rPr>
  </w:style>
  <w:style w:type="paragraph" w:styleId="NoSpacing">
    <w:name w:val="No Spacing"/>
    <w:link w:val="NoSpacingChar"/>
    <w:uiPriority w:val="1"/>
    <w:qFormat/>
    <w:rsid w:val="00135539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135539"/>
    <w:rPr>
      <w:rFonts w:ascii="Arial" w:eastAsia="Calibri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Lesley Ketchabaw</cp:lastModifiedBy>
  <cp:revision>1</cp:revision>
  <dcterms:created xsi:type="dcterms:W3CDTF">2023-03-27T15:17:00Z</dcterms:created>
  <dcterms:modified xsi:type="dcterms:W3CDTF">2023-03-27T15:19:00Z</dcterms:modified>
</cp:coreProperties>
</file>